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C" w:rsidRPr="006A666C" w:rsidRDefault="006A666C" w:rsidP="006A666C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967105" cy="9620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A666C">
        <w:rPr>
          <w:rFonts w:ascii="Century Gothic" w:hAnsi="Century Gothic"/>
          <w:sz w:val="40"/>
        </w:rPr>
        <w:t>Milverton</w:t>
      </w:r>
      <w:proofErr w:type="spellEnd"/>
      <w:r w:rsidRPr="006A666C">
        <w:rPr>
          <w:rFonts w:ascii="Century Gothic" w:hAnsi="Century Gothic"/>
          <w:sz w:val="40"/>
        </w:rPr>
        <w:t xml:space="preserve"> Primary School </w:t>
      </w:r>
    </w:p>
    <w:p w:rsidR="006A666C" w:rsidRPr="00AA059B" w:rsidRDefault="006A666C" w:rsidP="00AA059B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rFonts w:ascii="Century Gothic" w:hAnsi="Century Gothic"/>
          <w:sz w:val="40"/>
        </w:rPr>
        <w:t>Induction Folder</w:t>
      </w:r>
    </w:p>
    <w:p w:rsidR="001823A5" w:rsidRDefault="00EC282D" w:rsidP="001823A5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Assessment and Reporting</w:t>
      </w:r>
    </w:p>
    <w:p w:rsidR="001823A5" w:rsidRPr="00AA059B" w:rsidRDefault="001823A5" w:rsidP="001823A5">
      <w:pPr>
        <w:spacing w:after="0"/>
        <w:jc w:val="center"/>
        <w:rPr>
          <w:rFonts w:ascii="Century Gothic" w:hAnsi="Century Gothic"/>
          <w:b/>
          <w:sz w:val="20"/>
          <w:szCs w:val="36"/>
        </w:rPr>
      </w:pP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Teachers form a teacher assessment judgement </w:t>
      </w:r>
      <w:r w:rsidR="00AA059B">
        <w:rPr>
          <w:rFonts w:ascii="Century Gothic" w:hAnsi="Century Gothic" w:cs="Arial"/>
          <w:szCs w:val="27"/>
        </w:rPr>
        <w:t>every term</w:t>
      </w:r>
      <w:r w:rsidR="005F0B5E">
        <w:rPr>
          <w:rFonts w:ascii="Century Gothic" w:hAnsi="Century Gothic" w:cs="Arial"/>
          <w:szCs w:val="27"/>
        </w:rPr>
        <w:t>.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>This is backed up by the use of tests in Reading and Maths</w:t>
      </w:r>
      <w:r w:rsidR="00E75D6E">
        <w:rPr>
          <w:rFonts w:ascii="Century Gothic" w:hAnsi="Century Gothic" w:cs="Arial"/>
          <w:szCs w:val="27"/>
        </w:rPr>
        <w:t xml:space="preserve"> in KS1 and KS2</w:t>
      </w:r>
      <w:r w:rsidR="00AA059B">
        <w:rPr>
          <w:rFonts w:ascii="Century Gothic" w:hAnsi="Century Gothic" w:cs="Arial"/>
          <w:szCs w:val="27"/>
        </w:rPr>
        <w:t xml:space="preserve">. </w:t>
      </w:r>
      <w:r w:rsidRPr="00EC282D">
        <w:rPr>
          <w:rFonts w:ascii="Century Gothic" w:hAnsi="Century Gothic" w:cs="Arial"/>
          <w:szCs w:val="27"/>
        </w:rPr>
        <w:t>The r</w:t>
      </w:r>
      <w:r>
        <w:rPr>
          <w:rFonts w:ascii="Century Gothic" w:hAnsi="Century Gothic" w:cs="Arial"/>
          <w:szCs w:val="27"/>
        </w:rPr>
        <w:t>eading test is the Y</w:t>
      </w:r>
      <w:r w:rsidRPr="00EC282D">
        <w:rPr>
          <w:rFonts w:ascii="Century Gothic" w:hAnsi="Century Gothic" w:cs="Arial"/>
          <w:szCs w:val="27"/>
        </w:rPr>
        <w:t xml:space="preserve">ear group </w:t>
      </w:r>
      <w:r>
        <w:rPr>
          <w:rFonts w:ascii="Century Gothic" w:hAnsi="Century Gothic" w:cs="Arial"/>
          <w:szCs w:val="27"/>
        </w:rPr>
        <w:t xml:space="preserve">specific </w:t>
      </w:r>
      <w:r w:rsidRPr="00EC282D">
        <w:rPr>
          <w:rFonts w:ascii="Century Gothic" w:hAnsi="Century Gothic" w:cs="Arial"/>
          <w:szCs w:val="27"/>
        </w:rPr>
        <w:t>Rising Stars Reading Test</w:t>
      </w:r>
      <w:r w:rsidR="00AA059B">
        <w:rPr>
          <w:rFonts w:ascii="Century Gothic" w:hAnsi="Century Gothic" w:cs="Arial"/>
          <w:szCs w:val="27"/>
        </w:rPr>
        <w:t xml:space="preserve">. </w:t>
      </w:r>
      <w:r w:rsidRPr="00EC282D">
        <w:rPr>
          <w:rFonts w:ascii="Century Gothic" w:hAnsi="Century Gothic" w:cs="Arial"/>
          <w:szCs w:val="27"/>
        </w:rPr>
        <w:t xml:space="preserve">The maths test is the </w:t>
      </w:r>
      <w:r>
        <w:rPr>
          <w:rFonts w:ascii="Century Gothic" w:hAnsi="Century Gothic" w:cs="Arial"/>
          <w:szCs w:val="27"/>
        </w:rPr>
        <w:t xml:space="preserve">Year group specific </w:t>
      </w:r>
      <w:r w:rsidRPr="00EC282D">
        <w:rPr>
          <w:rFonts w:ascii="Century Gothic" w:hAnsi="Century Gothic" w:cs="Arial"/>
          <w:szCs w:val="27"/>
        </w:rPr>
        <w:t>White Rose Hub Test</w:t>
      </w:r>
      <w:r w:rsidR="00E75D6E">
        <w:rPr>
          <w:rFonts w:ascii="Century Gothic" w:hAnsi="Century Gothic" w:cs="Arial"/>
          <w:szCs w:val="27"/>
        </w:rPr>
        <w:t>.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Teachers input the </w:t>
      </w:r>
      <w:r>
        <w:rPr>
          <w:rFonts w:ascii="Century Gothic" w:hAnsi="Century Gothic" w:cs="Arial"/>
          <w:szCs w:val="27"/>
        </w:rPr>
        <w:t>assessment grid</w:t>
      </w:r>
      <w:r w:rsidRPr="00EC282D">
        <w:rPr>
          <w:rFonts w:ascii="Century Gothic" w:hAnsi="Century Gothic" w:cs="Arial"/>
          <w:szCs w:val="27"/>
        </w:rPr>
        <w:t xml:space="preserve"> document for Reading, Writing and Maths.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>The on track statement in the middle column is highlighted in bold when covered in class and the assumption is made that most children are secure.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>Those children still working towards this objective are initialled in the left column</w:t>
      </w:r>
      <w:r w:rsidR="005F0B5E">
        <w:rPr>
          <w:rFonts w:ascii="Century Gothic" w:hAnsi="Century Gothic" w:cs="Arial"/>
          <w:szCs w:val="27"/>
        </w:rPr>
        <w:t>.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Those children exceeding the objective to greater depth are initialled in the right column. 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This allows the teacher to complete the </w:t>
      </w:r>
      <w:proofErr w:type="spellStart"/>
      <w:r w:rsidRPr="00EC282D">
        <w:rPr>
          <w:rFonts w:ascii="Century Gothic" w:hAnsi="Century Gothic" w:cs="Arial"/>
          <w:szCs w:val="27"/>
        </w:rPr>
        <w:t>termly</w:t>
      </w:r>
      <w:proofErr w:type="spellEnd"/>
      <w:r w:rsidRPr="00EC282D">
        <w:rPr>
          <w:rFonts w:ascii="Century Gothic" w:hAnsi="Century Gothic" w:cs="Arial"/>
          <w:szCs w:val="27"/>
        </w:rPr>
        <w:t xml:space="preserve"> tracking document highlighting the cell as either; </w:t>
      </w:r>
    </w:p>
    <w:p w:rsid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Working on year below objectives 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>- Red (stating Year working on)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Working towards 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  <w:t>- Yellow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>On track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  <w:t>- Green</w:t>
      </w:r>
    </w:p>
    <w:p w:rsidR="00EC282D" w:rsidRPr="00EC282D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 xml:space="preserve">Greater Depth 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  <w:t>- Blue</w:t>
      </w:r>
    </w:p>
    <w:p w:rsidR="00EC282D" w:rsidRDefault="00EC282D" w:rsidP="001823A5">
      <w:pPr>
        <w:pStyle w:val="ListParagraph"/>
        <w:ind w:left="0"/>
        <w:rPr>
          <w:rFonts w:ascii="Century Gothic" w:hAnsi="Century Gothic" w:cs="Arial"/>
          <w:sz w:val="27"/>
          <w:szCs w:val="27"/>
        </w:rPr>
      </w:pPr>
    </w:p>
    <w:p w:rsidR="00AA059B" w:rsidRDefault="00EC282D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>Progress is measured from the previous Key Stage result, either EYFS or Key Stage1</w:t>
      </w:r>
      <w:r w:rsidR="00E75D6E">
        <w:rPr>
          <w:rFonts w:ascii="Century Gothic" w:hAnsi="Century Gothic" w:cs="Arial"/>
          <w:szCs w:val="27"/>
        </w:rPr>
        <w:t xml:space="preserve"> subject specific outcome. </w:t>
      </w:r>
      <w:r w:rsidR="00AA059B">
        <w:rPr>
          <w:rFonts w:ascii="Century Gothic" w:hAnsi="Century Gothic" w:cs="Arial"/>
          <w:szCs w:val="27"/>
        </w:rPr>
        <w:t>Progress is indicated as;</w:t>
      </w:r>
    </w:p>
    <w:p w:rsidR="00AA059B" w:rsidRDefault="00AA059B" w:rsidP="00AA059B">
      <w:pPr>
        <w:pStyle w:val="ListParagraph"/>
        <w:ind w:left="0"/>
        <w:rPr>
          <w:rFonts w:ascii="Century Gothic" w:hAnsi="Century Gothic" w:cs="Arial"/>
          <w:szCs w:val="27"/>
        </w:rPr>
      </w:pPr>
    </w:p>
    <w:p w:rsidR="00AA059B" w:rsidRPr="00EC282D" w:rsidRDefault="00AA059B" w:rsidP="00AA059B">
      <w:pPr>
        <w:pStyle w:val="ListParagraph"/>
        <w:ind w:left="0"/>
        <w:rPr>
          <w:rFonts w:ascii="Century Gothic" w:hAnsi="Century Gothic" w:cs="Arial"/>
          <w:szCs w:val="27"/>
        </w:rPr>
      </w:pPr>
      <w:r>
        <w:rPr>
          <w:rFonts w:ascii="Century Gothic" w:hAnsi="Century Gothic" w:cs="Arial"/>
          <w:szCs w:val="27"/>
        </w:rPr>
        <w:t>Below expectation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  <w:t>- Yellow</w:t>
      </w:r>
    </w:p>
    <w:p w:rsidR="00AA059B" w:rsidRPr="00EC282D" w:rsidRDefault="00AA059B" w:rsidP="00AA059B">
      <w:pPr>
        <w:pStyle w:val="ListParagraph"/>
        <w:ind w:left="0"/>
        <w:rPr>
          <w:rFonts w:ascii="Century Gothic" w:hAnsi="Century Gothic" w:cs="Arial"/>
          <w:szCs w:val="27"/>
        </w:rPr>
      </w:pPr>
      <w:r w:rsidRPr="00EC282D">
        <w:rPr>
          <w:rFonts w:ascii="Century Gothic" w:hAnsi="Century Gothic" w:cs="Arial"/>
          <w:szCs w:val="27"/>
        </w:rPr>
        <w:t>On track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  <w:t>- Green</w:t>
      </w:r>
    </w:p>
    <w:p w:rsidR="00EC282D" w:rsidRPr="00AA059B" w:rsidRDefault="00AA059B" w:rsidP="001823A5">
      <w:pPr>
        <w:pStyle w:val="ListParagraph"/>
        <w:ind w:left="0"/>
        <w:rPr>
          <w:rFonts w:ascii="Century Gothic" w:hAnsi="Century Gothic" w:cs="Arial"/>
          <w:szCs w:val="27"/>
        </w:rPr>
      </w:pPr>
      <w:r>
        <w:rPr>
          <w:rFonts w:ascii="Century Gothic" w:hAnsi="Century Gothic" w:cs="Arial"/>
          <w:szCs w:val="27"/>
        </w:rPr>
        <w:t>Above expectation</w:t>
      </w:r>
      <w:r w:rsidRPr="00EC282D">
        <w:rPr>
          <w:rFonts w:ascii="Century Gothic" w:hAnsi="Century Gothic" w:cs="Arial"/>
          <w:szCs w:val="27"/>
        </w:rPr>
        <w:t xml:space="preserve"> </w:t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</w:r>
      <w:r w:rsidRPr="00EC282D">
        <w:rPr>
          <w:rFonts w:ascii="Century Gothic" w:hAnsi="Century Gothic" w:cs="Arial"/>
          <w:szCs w:val="27"/>
        </w:rPr>
        <w:tab/>
        <w:t>- Blue</w:t>
      </w:r>
      <w:r w:rsidRPr="00AA059B">
        <w:rPr>
          <w:rFonts w:ascii="Century Gothic" w:hAnsi="Century Gothic" w:cs="Arial"/>
          <w:szCs w:val="27"/>
        </w:rPr>
        <w:tab/>
      </w:r>
      <w:r w:rsidRPr="00AA059B">
        <w:rPr>
          <w:rFonts w:ascii="Century Gothic" w:hAnsi="Century Gothic" w:cs="Arial"/>
          <w:szCs w:val="27"/>
        </w:rPr>
        <w:tab/>
      </w:r>
      <w:r w:rsidRPr="00AA059B">
        <w:rPr>
          <w:rFonts w:ascii="Century Gothic" w:hAnsi="Century Gothic" w:cs="Arial"/>
          <w:szCs w:val="27"/>
        </w:rPr>
        <w:tab/>
      </w:r>
    </w:p>
    <w:p w:rsidR="00AA059B" w:rsidRDefault="00AA059B" w:rsidP="00AA059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National Assessment reporting</w:t>
      </w:r>
    </w:p>
    <w:p w:rsidR="001823A5" w:rsidRDefault="00AA059B" w:rsidP="00AA059B">
      <w:pPr>
        <w:spacing w:after="0"/>
        <w:rPr>
          <w:rFonts w:ascii="Century Gothic" w:hAnsi="Century Gothic"/>
          <w:b/>
        </w:rPr>
      </w:pPr>
      <w:r w:rsidRPr="00AA059B">
        <w:rPr>
          <w:rFonts w:ascii="Century Gothic" w:hAnsi="Century Gothic"/>
          <w:b/>
        </w:rPr>
        <w:t>EYFS</w:t>
      </w:r>
    </w:p>
    <w:p w:rsidR="00AA059B" w:rsidRPr="00AA059B" w:rsidRDefault="00AA059B" w:rsidP="00AA059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Teachers report on the 17 areas of learning as either 1 (emerging), 2 (expected), 3 (exceeding)</w:t>
      </w:r>
    </w:p>
    <w:p w:rsidR="00AA059B" w:rsidRDefault="00AA059B" w:rsidP="00AA059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1</w:t>
      </w:r>
    </w:p>
    <w:p w:rsidR="00AA059B" w:rsidRPr="00AA059B" w:rsidRDefault="00AA059B" w:rsidP="00AA059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Children take part in the Phonics screening check – scores out of 40 are reported as either working towards the expected grade o</w:t>
      </w:r>
      <w:r w:rsidR="005F0B5E">
        <w:rPr>
          <w:rFonts w:ascii="Century Gothic" w:hAnsi="Century Gothic"/>
        </w:rPr>
        <w:t>r working at the expected grade, t</w:t>
      </w:r>
      <w:r w:rsidR="00E75D6E">
        <w:rPr>
          <w:rFonts w:ascii="Century Gothic" w:hAnsi="Century Gothic"/>
        </w:rPr>
        <w:t>his</w:t>
      </w:r>
      <w:r>
        <w:rPr>
          <w:rFonts w:ascii="Century Gothic" w:hAnsi="Century Gothic"/>
        </w:rPr>
        <w:t xml:space="preserve"> has </w:t>
      </w:r>
      <w:r w:rsidR="00E75D6E">
        <w:rPr>
          <w:rFonts w:ascii="Century Gothic" w:hAnsi="Century Gothic"/>
        </w:rPr>
        <w:t>always been 32</w:t>
      </w:r>
      <w:r w:rsidR="005F0B5E">
        <w:rPr>
          <w:rFonts w:ascii="Century Gothic" w:hAnsi="Century Gothic"/>
        </w:rPr>
        <w:t>.</w:t>
      </w:r>
    </w:p>
    <w:p w:rsidR="00AA059B" w:rsidRDefault="00AA059B" w:rsidP="00AA059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2</w:t>
      </w:r>
    </w:p>
    <w:p w:rsidR="00AA059B" w:rsidRPr="00AA059B" w:rsidRDefault="00AA059B" w:rsidP="00AA059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Children partake in the national tests for Year 2 in reading, writing and maths. These take place in the month of May. Writing is teacher assessed against a portfolio of work and </w:t>
      </w:r>
      <w:r w:rsidR="005F0B5E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very specific marking structure where children must demonstrate all components to be considered working at level or at greater depth. Maths and Reading use a national test and this should be used to inform the submitted teacher assessment.</w:t>
      </w:r>
    </w:p>
    <w:p w:rsidR="00AA059B" w:rsidRPr="00AA059B" w:rsidRDefault="00AA059B" w:rsidP="00AA059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6</w:t>
      </w:r>
    </w:p>
    <w:p w:rsidR="00677F3B" w:rsidRPr="00AA059B" w:rsidRDefault="00AA059B" w:rsidP="00AA059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Children partake in the national tests for Year 2 in reading, writing and maths. These take place on set days in one week in May. Writing is teacher assessed against a portfolio of work and </w:t>
      </w:r>
      <w:r w:rsidR="005F0B5E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very specific marking structure where children must demonstrate all components to be considered working at level or at greater depth. Maths and Reading use a national test that is externally marked.</w:t>
      </w:r>
    </w:p>
    <w:sectPr w:rsidR="00677F3B" w:rsidRPr="00AA059B" w:rsidSect="006A6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70"/>
    <w:multiLevelType w:val="hybridMultilevel"/>
    <w:tmpl w:val="44FE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66B"/>
    <w:multiLevelType w:val="hybridMultilevel"/>
    <w:tmpl w:val="73FC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6204D"/>
    <w:multiLevelType w:val="hybridMultilevel"/>
    <w:tmpl w:val="E9064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66C"/>
    <w:rsid w:val="000D4B78"/>
    <w:rsid w:val="001823A5"/>
    <w:rsid w:val="001A61CC"/>
    <w:rsid w:val="005F0B5E"/>
    <w:rsid w:val="00677F3B"/>
    <w:rsid w:val="006A666C"/>
    <w:rsid w:val="00834C1D"/>
    <w:rsid w:val="00AA059B"/>
    <w:rsid w:val="00AB246F"/>
    <w:rsid w:val="00BB76E8"/>
    <w:rsid w:val="00BE32CB"/>
    <w:rsid w:val="00CA3696"/>
    <w:rsid w:val="00E75D6E"/>
    <w:rsid w:val="00EC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F"/>
  </w:style>
  <w:style w:type="paragraph" w:styleId="Heading2">
    <w:name w:val="heading 2"/>
    <w:basedOn w:val="Normal"/>
    <w:next w:val="Normal"/>
    <w:link w:val="Heading2Char"/>
    <w:qFormat/>
    <w:rsid w:val="001823A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23A5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1823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Staff</cp:lastModifiedBy>
  <cp:revision>2</cp:revision>
  <cp:lastPrinted>2017-07-24T11:56:00Z</cp:lastPrinted>
  <dcterms:created xsi:type="dcterms:W3CDTF">2017-07-24T12:32:00Z</dcterms:created>
  <dcterms:modified xsi:type="dcterms:W3CDTF">2017-07-24T12:32:00Z</dcterms:modified>
</cp:coreProperties>
</file>